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26" w:tblpY="1622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375"/>
        <w:gridCol w:w="1374"/>
        <w:gridCol w:w="1574"/>
        <w:gridCol w:w="1574"/>
      </w:tblGrid>
      <w:tr w:rsidR="00AD10A2" w:rsidTr="00CB73A4">
        <w:trPr>
          <w:trHeight w:hRule="exact" w:val="348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07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品名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07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规格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417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生产厂家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50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单位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22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数量（盒）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5" w:lineRule="exact"/>
              <w:ind w:left="201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单价（元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/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盒）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22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金额（含税）</w:t>
            </w:r>
          </w:p>
        </w:tc>
      </w:tr>
      <w:tr w:rsidR="00AD10A2" w:rsidTr="00CB73A4">
        <w:trPr>
          <w:trHeight w:hRule="exact" w:val="348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5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××××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3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</w:t>
            </w:r>
          </w:p>
        </w:tc>
      </w:tr>
      <w:tr w:rsidR="00AD10A2" w:rsidTr="00CB73A4">
        <w:trPr>
          <w:trHeight w:hRule="exact" w:val="348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F7578" w:rsidP="005A76FB">
            <w:pPr>
              <w:spacing w:line="281" w:lineRule="exact"/>
            </w:pPr>
          </w:p>
        </w:tc>
      </w:tr>
      <w:tr w:rsidR="00AD10A2" w:rsidTr="00CB73A4">
        <w:trPr>
          <w:trHeight w:hRule="exact" w:val="348"/>
        </w:trPr>
        <w:tc>
          <w:tcPr>
            <w:tcW w:w="9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1" w:lineRule="exact"/>
              <w:ind w:left="8441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合计：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81" w:lineRule="exact"/>
              <w:ind w:left="6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</w:t>
            </w:r>
          </w:p>
        </w:tc>
      </w:tr>
      <w:tr w:rsidR="00AD10A2" w:rsidTr="00CB73A4">
        <w:trPr>
          <w:trHeight w:hRule="exact" w:val="348"/>
        </w:trPr>
        <w:tc>
          <w:tcPr>
            <w:tcW w:w="10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6" w:lineRule="exact"/>
              <w:ind w:left="34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19"/>
              </w:rPr>
              <w:t>合计人民币金额（大写）：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××××</w:t>
            </w:r>
          </w:p>
        </w:tc>
      </w:tr>
      <w:tr w:rsidR="00AD10A2" w:rsidTr="00831072">
        <w:trPr>
          <w:trHeight w:hRule="exact" w:val="8764"/>
        </w:trPr>
        <w:tc>
          <w:tcPr>
            <w:tcW w:w="10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831072" w:rsidRDefault="009F0DD7" w:rsidP="005A76FB">
            <w:pPr>
              <w:spacing w:after="0" w:line="271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双方约定事项：</w:t>
            </w:r>
            <w:bookmarkStart w:id="0" w:name="_GoBack"/>
            <w:bookmarkEnd w:id="0"/>
          </w:p>
          <w:p w:rsidR="005A76FB" w:rsidRPr="00831072" w:rsidRDefault="009F0DD7" w:rsidP="005A76FB">
            <w:pPr>
              <w:spacing w:after="0" w:line="352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1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、需方提供的材料和义务</w:t>
            </w:r>
          </w:p>
          <w:p w:rsidR="005A76FB" w:rsidRPr="00831072" w:rsidRDefault="009F0DD7" w:rsidP="005A76FB">
            <w:pPr>
              <w:spacing w:after="0" w:line="317" w:lineRule="exact"/>
              <w:ind w:left="273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为保证本项目的顺利开展，需方应当向供应方提供本项目所需要的技术资料以及其他协助事项，包括但不限于进口一次性批</w:t>
            </w:r>
          </w:p>
          <w:p w:rsidR="005A76FB" w:rsidRPr="00831072" w:rsidRDefault="009F0DD7" w:rsidP="005A76FB">
            <w:pPr>
              <w:spacing w:after="0" w:line="25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件、临床试验方案（如需要），药物临床批件（如需要），以及明确的药品英文品名、规格、生产厂家、批次要求、剩余效期</w:t>
            </w:r>
          </w:p>
          <w:p w:rsidR="005A76FB" w:rsidRPr="00831072" w:rsidRDefault="009F0DD7" w:rsidP="005A76FB">
            <w:pPr>
              <w:spacing w:after="0" w:line="235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、采购数量等信息，以保证供方进行海外购买的准确性。</w:t>
            </w:r>
          </w:p>
          <w:p w:rsidR="005A76FB" w:rsidRPr="00831072" w:rsidRDefault="009F0DD7" w:rsidP="005A76FB">
            <w:pPr>
              <w:spacing w:after="0" w:line="326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2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、供方提供的材料和义务</w:t>
            </w:r>
          </w:p>
          <w:p w:rsidR="005A76FB" w:rsidRPr="00831072" w:rsidRDefault="009F0DD7" w:rsidP="005A76FB">
            <w:pPr>
              <w:spacing w:after="0" w:line="307" w:lineRule="exact"/>
              <w:ind w:left="273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基于需方提供的资料和批准文件，供方负责将海外采购的参比制剂用药产品按时足量提供给需方。供方不得利用需方提供的</w:t>
            </w:r>
          </w:p>
          <w:p w:rsidR="005A76FB" w:rsidRPr="00831072" w:rsidRDefault="009F0DD7" w:rsidP="005A76FB">
            <w:pPr>
              <w:spacing w:after="0" w:line="25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资料以及文件进行与本服务项目无关的事情。</w:t>
            </w:r>
            <w:r w:rsidRPr="00831072">
              <w:rPr>
                <w:rFonts w:asciiTheme="minorEastAsia" w:hAnsiTheme="minorEastAsia" w:cs="Calibri"/>
                <w:noProof/>
                <w:color w:val="000000"/>
                <w:spacing w:val="4"/>
                <w:sz w:val="20"/>
                <w:szCs w:val="15"/>
              </w:rPr>
              <w:t>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如需方要求，供方应向需方提供参比制剂进口环节符合规定的证书或文件复印</w:t>
            </w:r>
          </w:p>
          <w:p w:rsidR="005A76FB" w:rsidRPr="00831072" w:rsidRDefault="009F0DD7" w:rsidP="005A76FB">
            <w:pPr>
              <w:spacing w:after="0" w:line="25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件，以保证该海外采购合法性的可追溯。</w:t>
            </w:r>
          </w:p>
          <w:p w:rsidR="005A76FB" w:rsidRPr="00831072" w:rsidRDefault="009F0DD7" w:rsidP="005A76FB">
            <w:pPr>
              <w:spacing w:after="0" w:line="316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3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、质量条款：</w:t>
            </w:r>
          </w:p>
          <w:p w:rsidR="005A76FB" w:rsidRPr="00831072" w:rsidRDefault="009F0DD7" w:rsidP="005A76FB">
            <w:pPr>
              <w:spacing w:after="0" w:line="355" w:lineRule="exact"/>
              <w:ind w:left="273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产品在海外采购、进口清关、国内销售配送全过程中处于符合该药品要求的环境；产品包装符合有关规定和货物运输要求；</w:t>
            </w:r>
          </w:p>
          <w:p w:rsidR="005A76FB" w:rsidRPr="00831072" w:rsidRDefault="009F0DD7" w:rsidP="005A76FB">
            <w:pPr>
              <w:spacing w:after="0" w:line="25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供方提供的参比制剂的效期符合需方要求。</w:t>
            </w:r>
          </w:p>
          <w:p w:rsidR="005A76FB" w:rsidRPr="00831072" w:rsidRDefault="009F0DD7" w:rsidP="005A76FB">
            <w:pPr>
              <w:spacing w:after="0" w:line="36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4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、运输方面：</w:t>
            </w:r>
          </w:p>
          <w:p w:rsidR="005A76FB" w:rsidRPr="00831072" w:rsidRDefault="009F0DD7" w:rsidP="005A76FB">
            <w:pPr>
              <w:spacing w:after="0" w:line="331" w:lineRule="exact"/>
              <w:ind w:left="272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2"/>
                <w:sz w:val="20"/>
                <w:szCs w:val="15"/>
              </w:rPr>
              <w:t>4.1</w:t>
            </w:r>
            <w:r w:rsidRPr="00831072">
              <w:rPr>
                <w:rFonts w:asciiTheme="minorEastAsia" w:hAnsiTheme="minorEastAsia" w:cs="Calibri"/>
                <w:noProof/>
                <w:color w:val="000000"/>
                <w:spacing w:val="5"/>
                <w:sz w:val="20"/>
                <w:szCs w:val="15"/>
              </w:rPr>
              <w:t>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运输方式（□</w:t>
            </w:r>
            <w:r w:rsidRPr="00831072">
              <w:rPr>
                <w:rFonts w:asciiTheme="minorEastAsia" w:hAnsiTheme="minorEastAsia" w:cs="Calibri"/>
                <w:noProof/>
                <w:color w:val="000000"/>
                <w:w w:val="241"/>
                <w:sz w:val="20"/>
                <w:szCs w:val="15"/>
              </w:rPr>
              <w:t>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公路、□中铁快运、□铁路快件、□特快专递、□空运）</w:t>
            </w:r>
          </w:p>
          <w:p w:rsidR="005A76FB" w:rsidRPr="00831072" w:rsidRDefault="009F0DD7" w:rsidP="005A76FB">
            <w:pPr>
              <w:spacing w:after="0" w:line="312" w:lineRule="exact"/>
              <w:ind w:left="272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2"/>
                <w:sz w:val="20"/>
                <w:szCs w:val="15"/>
              </w:rPr>
              <w:t>4.2</w:t>
            </w:r>
            <w:r w:rsidRPr="00831072">
              <w:rPr>
                <w:rFonts w:asciiTheme="minorEastAsia" w:hAnsiTheme="minorEastAsia" w:cs="Calibri"/>
                <w:noProof/>
                <w:color w:val="000000"/>
                <w:spacing w:val="5"/>
                <w:sz w:val="20"/>
                <w:szCs w:val="15"/>
              </w:rPr>
              <w:t>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运费负担（</w:t>
            </w:r>
            <w:r w:rsidRPr="00831072">
              <w:rPr>
                <w:rFonts w:ascii="MS Gothic" w:eastAsia="MS Gothic" w:hAnsi="MS Gothic" w:cs="MS Gothic" w:hint="eastAsia"/>
                <w:noProof/>
                <w:color w:val="000000"/>
                <w:spacing w:val="-5"/>
                <w:sz w:val="20"/>
                <w:szCs w:val="15"/>
              </w:rPr>
              <w:t>☐</w:t>
            </w:r>
            <w:r w:rsidRPr="00831072">
              <w:rPr>
                <w:rFonts w:asciiTheme="minorEastAsia" w:hAnsiTheme="minorEastAsia" w:cs="Calibri"/>
                <w:noProof/>
                <w:color w:val="000000"/>
                <w:spacing w:val="5"/>
                <w:sz w:val="20"/>
                <w:szCs w:val="15"/>
              </w:rPr>
              <w:t>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供方、</w:t>
            </w:r>
            <w:r w:rsidRPr="00831072">
              <w:rPr>
                <w:rFonts w:ascii="MS Gothic" w:eastAsia="MS Gothic" w:hAnsi="MS Gothic" w:cs="MS Gothic" w:hint="eastAsia"/>
                <w:noProof/>
                <w:color w:val="000000"/>
                <w:spacing w:val="-5"/>
                <w:sz w:val="20"/>
                <w:szCs w:val="15"/>
              </w:rPr>
              <w:t>☐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需方。）</w:t>
            </w:r>
          </w:p>
          <w:p w:rsidR="005A76FB" w:rsidRPr="00831072" w:rsidRDefault="009F0DD7" w:rsidP="005A76FB">
            <w:pPr>
              <w:spacing w:after="0" w:line="292" w:lineRule="exact"/>
              <w:ind w:left="272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2"/>
                <w:sz w:val="20"/>
                <w:szCs w:val="15"/>
              </w:rPr>
              <w:t>4.3</w:t>
            </w:r>
            <w:r w:rsidRPr="00831072">
              <w:rPr>
                <w:rFonts w:asciiTheme="minorEastAsia" w:hAnsiTheme="minorEastAsia" w:cs="Calibri"/>
                <w:noProof/>
                <w:color w:val="000000"/>
                <w:spacing w:val="5"/>
                <w:sz w:val="20"/>
                <w:szCs w:val="15"/>
              </w:rPr>
              <w:t>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风险转移：供方运送或需方自提的，为需方接收货物的时间和地点；供方托运的为供方交付给第一承运人的时间和地点</w:t>
            </w:r>
          </w:p>
          <w:p w:rsidR="005A76FB" w:rsidRPr="00831072" w:rsidRDefault="009F0DD7" w:rsidP="005A76FB">
            <w:pPr>
              <w:spacing w:after="0" w:line="240" w:lineRule="exact"/>
              <w:ind w:left="34" w:right="-239"/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。</w:t>
            </w:r>
          </w:p>
          <w:p w:rsidR="00831072" w:rsidRPr="00831072" w:rsidRDefault="00831072" w:rsidP="00831072">
            <w:pPr>
              <w:spacing w:after="0" w:line="240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hint="eastAsia"/>
                <w:sz w:val="20"/>
                <w:szCs w:val="15"/>
              </w:rPr>
              <w:t>5、收货：需方提取货物时，应对产品包装进行检查。如发现破损</w:t>
            </w:r>
            <w:proofErr w:type="gramStart"/>
            <w:r w:rsidRPr="00831072">
              <w:rPr>
                <w:rFonts w:asciiTheme="minorEastAsia" w:hAnsiTheme="minorEastAsia" w:hint="eastAsia"/>
                <w:sz w:val="20"/>
                <w:szCs w:val="15"/>
              </w:rPr>
              <w:t>溢</w:t>
            </w:r>
            <w:proofErr w:type="gramEnd"/>
            <w:r w:rsidRPr="00831072">
              <w:rPr>
                <w:rFonts w:asciiTheme="minorEastAsia" w:hAnsiTheme="minorEastAsia" w:hint="eastAsia"/>
                <w:sz w:val="20"/>
                <w:szCs w:val="15"/>
              </w:rPr>
              <w:t>短装等，应在收到货物起【2】日内，书面通知供方，并提</w:t>
            </w:r>
          </w:p>
          <w:p w:rsidR="00B52E46" w:rsidRPr="00831072" w:rsidRDefault="00831072" w:rsidP="00831072">
            <w:pPr>
              <w:spacing w:after="0" w:line="240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hint="eastAsia"/>
                <w:sz w:val="20"/>
                <w:szCs w:val="15"/>
              </w:rPr>
              <w:t>供有关证明，包括运单、货物记录、验收报告等。逾期未提出的，视为合同产品已经依约按质按量完成交付。</w:t>
            </w:r>
          </w:p>
          <w:p w:rsidR="005A76FB" w:rsidRPr="00831072" w:rsidRDefault="009F0DD7" w:rsidP="005A76FB">
            <w:pPr>
              <w:spacing w:after="0" w:line="36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6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、结算方式：电汇；</w:t>
            </w:r>
            <w:r w:rsidRPr="00831072">
              <w:rPr>
                <w:rFonts w:asciiTheme="minorEastAsia" w:hAnsiTheme="minorEastAsia" w:cs="Calibri"/>
                <w:noProof/>
                <w:color w:val="000000"/>
                <w:spacing w:val="3"/>
                <w:sz w:val="20"/>
                <w:szCs w:val="15"/>
              </w:rPr>
              <w:t>          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付款期限：双方签订合同后的【</w:t>
            </w: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5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】个工作日内，需方需要预付款</w:t>
            </w:r>
            <w:r w:rsidRPr="00831072">
              <w:rPr>
                <w:rFonts w:asciiTheme="minorEastAsia" w:hAnsiTheme="minorEastAsia" w:cs="Times New Roman"/>
                <w:noProof/>
                <w:color w:val="000000"/>
                <w:spacing w:val="-2"/>
                <w:sz w:val="20"/>
                <w:szCs w:val="15"/>
              </w:rPr>
              <w:t>100%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。</w:t>
            </w:r>
          </w:p>
          <w:p w:rsidR="005A76FB" w:rsidRPr="00831072" w:rsidRDefault="009F0DD7" w:rsidP="005A76FB">
            <w:pPr>
              <w:spacing w:after="0" w:line="348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7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、违约责任：本合同生效后，供方和需方均应履行本合同的规定，按照《合同法》有关规定执行。</w:t>
            </w:r>
          </w:p>
          <w:p w:rsidR="005A76FB" w:rsidRPr="00831072" w:rsidRDefault="009F0DD7" w:rsidP="005A76FB">
            <w:pPr>
              <w:spacing w:after="0" w:line="348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8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、纠纷解决及合同解除：</w:t>
            </w:r>
          </w:p>
          <w:p w:rsidR="005A76FB" w:rsidRPr="00831072" w:rsidRDefault="009F0DD7" w:rsidP="005A76FB">
            <w:pPr>
              <w:spacing w:after="0" w:line="317" w:lineRule="exact"/>
              <w:ind w:left="273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本合同如发生纠纷，双方应协商解决，协商未果的，任何一方均可向北京仲裁委员会提起仲裁。因不可抗力或遇国家政策、</w:t>
            </w:r>
          </w:p>
          <w:p w:rsidR="005A76FB" w:rsidRPr="00831072" w:rsidRDefault="009F0DD7" w:rsidP="005A76FB">
            <w:pPr>
              <w:spacing w:after="0" w:line="254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法规的变化等不可预见、不可克服、不可避免的客观原因导致本合同不能正常履行或工作迟延的，发生不可抗力的一方应当在</w:t>
            </w:r>
          </w:p>
          <w:p w:rsidR="005A76FB" w:rsidRPr="00831072" w:rsidRDefault="009F0DD7" w:rsidP="005A76FB">
            <w:pPr>
              <w:spacing w:after="0" w:line="235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第一时间将不可抗力情况书面通知另一方，并根据不可抗力情形免除或减免违约责任，双方应当进行合同结算。</w:t>
            </w:r>
          </w:p>
          <w:p w:rsidR="005A76FB" w:rsidRPr="00831072" w:rsidRDefault="009F0DD7" w:rsidP="005A76FB">
            <w:pPr>
              <w:spacing w:after="0" w:line="326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9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、本合同经双方签字盖章生效，一式两份，双方各执一份，具有同等效力。</w:t>
            </w:r>
          </w:p>
          <w:p w:rsidR="005A76FB" w:rsidRPr="00831072" w:rsidRDefault="009F0DD7" w:rsidP="005A76FB">
            <w:pPr>
              <w:spacing w:after="0" w:line="321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Times New Roman"/>
                <w:noProof/>
                <w:color w:val="000000"/>
                <w:spacing w:val="-2"/>
                <w:sz w:val="20"/>
                <w:szCs w:val="15"/>
              </w:rPr>
              <w:t>10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、其他约定事项：需方保证采购的药物将仅用于仿制药一致性评价或临床实验注册。若非产品质量问题，已采购的药物不得</w:t>
            </w:r>
          </w:p>
          <w:p w:rsidR="005A76FB" w:rsidRPr="00831072" w:rsidRDefault="009F0DD7" w:rsidP="005A76FB">
            <w:pPr>
              <w:spacing w:after="0" w:line="255" w:lineRule="exact"/>
              <w:ind w:left="34" w:right="-239"/>
              <w:rPr>
                <w:rFonts w:asciiTheme="minorEastAsia" w:hAnsiTheme="minorEastAsia"/>
                <w:sz w:val="20"/>
                <w:szCs w:val="15"/>
              </w:rPr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退回。供方在收到需方预付款后应立即安排产品采购工作；需方的采购计划发生变化的，需要在确定变化后的【</w:t>
            </w:r>
            <w:r w:rsidRPr="00831072">
              <w:rPr>
                <w:rFonts w:asciiTheme="minorEastAsia" w:hAnsiTheme="minorEastAsia" w:cs="Times New Roman"/>
                <w:noProof/>
                <w:color w:val="000000"/>
                <w:spacing w:val="-3"/>
                <w:sz w:val="20"/>
                <w:szCs w:val="15"/>
              </w:rPr>
              <w:t>3</w:t>
            </w: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】个工作日内</w:t>
            </w:r>
          </w:p>
          <w:p w:rsidR="005A76FB" w:rsidRDefault="009F0DD7" w:rsidP="005A76FB">
            <w:pPr>
              <w:spacing w:after="0" w:line="240" w:lineRule="exact"/>
              <w:ind w:left="34" w:right="-239"/>
            </w:pPr>
            <w:r w:rsidRPr="00831072">
              <w:rPr>
                <w:rFonts w:asciiTheme="minorEastAsia" w:hAnsiTheme="minorEastAsia" w:cs="宋体"/>
                <w:noProof/>
                <w:color w:val="000000"/>
                <w:spacing w:val="-5"/>
                <w:sz w:val="20"/>
                <w:szCs w:val="15"/>
              </w:rPr>
              <w:t>反馈给供方，供方已完成采购的，需方不可再取消订单。其它未尽事宜，双方协商解决。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1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供方：（盖章）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1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需方：（盖章）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1" w:lineRule="exact"/>
              <w:ind w:left="36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联系人：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1" w:lineRule="exact"/>
              <w:ind w:left="36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联系人：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单位名称：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单位名称：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地址：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地址：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电话：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电话：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开户行：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开户行：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</w:tr>
      <w:tr w:rsidR="00AD10A2" w:rsidTr="00CB73A4">
        <w:trPr>
          <w:trHeight w:hRule="exact" w:val="348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账号：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F0DD7" w:rsidP="005A76FB">
            <w:pPr>
              <w:spacing w:after="0" w:line="278" w:lineRule="exact"/>
              <w:ind w:left="34" w:right="-239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  <w:sz w:val="19"/>
              </w:rPr>
              <w:t>账号：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9"/>
              </w:rPr>
              <w:t>××××</w:t>
            </w:r>
          </w:p>
        </w:tc>
      </w:tr>
    </w:tbl>
    <w:p w:rsidR="005A76FB" w:rsidRDefault="005F7578" w:rsidP="005A76FB">
      <w:pPr>
        <w:spacing w:after="0" w:line="20" w:lineRule="exact"/>
      </w:pPr>
      <w:bookmarkStart w:id="1" w:name="1"/>
      <w:bookmarkEnd w:id="1"/>
    </w:p>
    <w:p w:rsidR="005A76FB" w:rsidRDefault="009F0DD7" w:rsidP="005A76FB">
      <w:pPr>
        <w:spacing w:after="0" w:line="409" w:lineRule="exact"/>
        <w:ind w:left="3479"/>
      </w:pPr>
      <w:r>
        <w:rPr>
          <w:rFonts w:ascii="微软雅黑" w:eastAsia="微软雅黑" w:hAnsi="微软雅黑" w:cs="微软雅黑"/>
          <w:b/>
          <w:noProof/>
          <w:color w:val="000000"/>
          <w:spacing w:val="-5"/>
          <w:w w:val="95"/>
          <w:sz w:val="27"/>
        </w:rPr>
        <w:t>参比制剂销售合同-模板</w:t>
      </w:r>
    </w:p>
    <w:p w:rsidR="005A76FB" w:rsidRDefault="009F0DD7" w:rsidP="005A76FB">
      <w:pPr>
        <w:spacing w:after="0" w:line="389" w:lineRule="exact"/>
      </w:pPr>
      <w:r w:rsidRPr="00B3349A">
        <w:br w:type="column"/>
      </w:r>
      <w:r>
        <w:rPr>
          <w:rFonts w:ascii="微软雅黑" w:eastAsia="微软雅黑" w:hAnsi="微软雅黑" w:cs="微软雅黑"/>
          <w:b/>
          <w:noProof/>
          <w:color w:val="000000"/>
          <w:spacing w:val="-4"/>
          <w:w w:val="95"/>
          <w:sz w:val="19"/>
        </w:rPr>
        <w:lastRenderedPageBreak/>
        <w:t>2018版</w:t>
      </w:r>
    </w:p>
    <w:p w:rsidR="005A76FB" w:rsidRDefault="005F7578" w:rsidP="005A76FB">
      <w:pPr>
        <w:widowControl/>
        <w:sectPr w:rsidR="005A76FB" w:rsidSect="005A76FB">
          <w:type w:val="continuous"/>
          <w:pgSz w:w="11906" w:h="16839"/>
          <w:pgMar w:top="1162" w:right="256" w:bottom="922" w:left="616" w:header="0" w:footer="0" w:gutter="0"/>
          <w:cols w:num="2" w:space="720" w:equalWidth="0">
            <w:col w:w="6552" w:space="0"/>
            <w:col w:w="4481" w:space="0"/>
          </w:cols>
          <w:docGrid w:type="lines" w:linePitch="312"/>
        </w:sectPr>
      </w:pPr>
    </w:p>
    <w:p w:rsidR="005A76FB" w:rsidRDefault="005F7578" w:rsidP="005A76FB">
      <w:pPr>
        <w:spacing w:after="0" w:line="244" w:lineRule="exact"/>
      </w:pPr>
    </w:p>
    <w:p w:rsidR="005A76FB" w:rsidRDefault="005F7578" w:rsidP="005A76FB">
      <w:pPr>
        <w:widowControl/>
        <w:sectPr w:rsidR="005A76FB" w:rsidSect="005A76FB">
          <w:type w:val="continuous"/>
          <w:pgSz w:w="11906" w:h="16839"/>
          <w:pgMar w:top="1162" w:right="256" w:bottom="922" w:left="616" w:header="0" w:footer="0" w:gutter="0"/>
          <w:cols w:space="720"/>
          <w:docGrid w:type="lines" w:linePitch="312"/>
        </w:sectPr>
      </w:pPr>
    </w:p>
    <w:p w:rsidR="005A76FB" w:rsidRDefault="009F0DD7" w:rsidP="005A76FB">
      <w:pPr>
        <w:spacing w:after="0" w:line="214" w:lineRule="exact"/>
        <w:ind w:left="60"/>
      </w:pPr>
      <w:r>
        <w:rPr>
          <w:rFonts w:ascii="宋体" w:eastAsia="宋体" w:hAnsi="宋体" w:cs="宋体"/>
          <w:b/>
          <w:noProof/>
          <w:color w:val="000000"/>
          <w:spacing w:val="-4"/>
          <w:w w:val="95"/>
          <w:sz w:val="19"/>
        </w:rPr>
        <w:lastRenderedPageBreak/>
        <w:t>合同号：</w:t>
      </w:r>
    </w:p>
    <w:p w:rsidR="005A76FB" w:rsidRDefault="009F0DD7" w:rsidP="005A76FB">
      <w:pPr>
        <w:spacing w:after="0" w:line="207" w:lineRule="exact"/>
      </w:pPr>
      <w:r w:rsidRPr="00B3349A">
        <w:br w:type="column"/>
      </w:r>
      <w:r>
        <w:rPr>
          <w:rFonts w:ascii="宋体" w:eastAsia="宋体" w:hAnsi="宋体" w:cs="宋体"/>
          <w:b/>
          <w:noProof/>
          <w:color w:val="000000"/>
          <w:spacing w:val="-4"/>
          <w:w w:val="95"/>
          <w:sz w:val="19"/>
        </w:rPr>
        <w:lastRenderedPageBreak/>
        <w:t>签订地点：</w:t>
      </w:r>
    </w:p>
    <w:p w:rsidR="005A76FB" w:rsidRDefault="009F0DD7" w:rsidP="005A76FB">
      <w:pPr>
        <w:spacing w:after="0" w:line="207" w:lineRule="exact"/>
      </w:pPr>
      <w:r w:rsidRPr="00B3349A">
        <w:br w:type="column"/>
      </w:r>
      <w:r>
        <w:rPr>
          <w:rFonts w:ascii="宋体" w:eastAsia="宋体" w:hAnsi="宋体" w:cs="宋体"/>
          <w:b/>
          <w:noProof/>
          <w:color w:val="000000"/>
          <w:spacing w:val="-4"/>
          <w:w w:val="95"/>
          <w:sz w:val="19"/>
        </w:rPr>
        <w:lastRenderedPageBreak/>
        <w:t>签订日期：</w:t>
      </w:r>
    </w:p>
    <w:p w:rsidR="005A76FB" w:rsidRDefault="009F0DD7" w:rsidP="005A76FB">
      <w:pPr>
        <w:spacing w:after="0" w:line="210" w:lineRule="exact"/>
      </w:pPr>
      <w:r w:rsidRPr="00B3349A">
        <w:br w:type="column"/>
      </w:r>
    </w:p>
    <w:p w:rsidR="005A76FB" w:rsidRDefault="005F7578" w:rsidP="005A76FB">
      <w:pPr>
        <w:widowControl/>
        <w:sectPr w:rsidR="005A76FB" w:rsidSect="005A76FB">
          <w:type w:val="continuous"/>
          <w:pgSz w:w="11906" w:h="16839"/>
          <w:pgMar w:top="1162" w:right="256" w:bottom="922" w:left="616" w:header="0" w:footer="0" w:gutter="0"/>
          <w:cols w:num="4" w:space="720" w:equalWidth="0">
            <w:col w:w="3299" w:space="0"/>
            <w:col w:w="4515" w:space="0"/>
            <w:col w:w="1608" w:space="0"/>
            <w:col w:w="1612" w:space="0"/>
          </w:cols>
          <w:docGrid w:type="lines" w:linePitch="312"/>
        </w:sectPr>
      </w:pPr>
    </w:p>
    <w:p w:rsidR="005A76FB" w:rsidRDefault="005F7578" w:rsidP="005A76FB">
      <w:pPr>
        <w:spacing w:after="0" w:line="240" w:lineRule="exact"/>
      </w:pPr>
    </w:p>
    <w:p w:rsidR="005A76FB" w:rsidRDefault="00B52E46" w:rsidP="005A76FB">
      <w:pPr>
        <w:spacing w:after="0" w:line="259" w:lineRule="exact"/>
      </w:pPr>
      <w:r>
        <w:rPr>
          <w:rFonts w:hint="eastAsia"/>
        </w:rPr>
        <w:t>一、产品名称、规格、单位、数量、单价、总价（含税）</w:t>
      </w:r>
    </w:p>
    <w:p w:rsidR="005A76FB" w:rsidRDefault="005F7578" w:rsidP="005A76FB">
      <w:pPr>
        <w:widowControl/>
        <w:sectPr w:rsidR="005A76FB" w:rsidSect="005A76FB">
          <w:type w:val="continuous"/>
          <w:pgSz w:w="11906" w:h="16839"/>
          <w:pgMar w:top="1162" w:right="256" w:bottom="922" w:left="616" w:header="0" w:footer="0" w:gutter="0"/>
          <w:cols w:space="720"/>
          <w:docGrid w:type="lines" w:linePitch="312"/>
        </w:sectPr>
      </w:pPr>
    </w:p>
    <w:p w:rsidR="005A76FB" w:rsidRDefault="005F7578" w:rsidP="00B52E46">
      <w:pPr>
        <w:spacing w:after="0" w:line="189" w:lineRule="exact"/>
        <w:ind w:left="60"/>
      </w:pPr>
    </w:p>
    <w:sectPr w:rsidR="005A76FB" w:rsidSect="005A76FB">
      <w:type w:val="continuous"/>
      <w:pgSz w:w="11906" w:h="16839"/>
      <w:pgMar w:top="1162" w:right="256" w:bottom="922" w:left="616" w:header="0" w:footer="0" w:gutter="0"/>
      <w:cols w:space="720" w:equalWidth="0">
        <w:col w:w="1103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78" w:rsidRDefault="005F7578">
      <w:pPr>
        <w:spacing w:after="0" w:line="240" w:lineRule="auto"/>
      </w:pPr>
      <w:r>
        <w:separator/>
      </w:r>
    </w:p>
  </w:endnote>
  <w:endnote w:type="continuationSeparator" w:id="0">
    <w:p w:rsidR="005F7578" w:rsidRDefault="005F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78" w:rsidRDefault="005F7578">
      <w:pPr>
        <w:spacing w:after="0" w:line="240" w:lineRule="auto"/>
      </w:pPr>
      <w:r>
        <w:separator/>
      </w:r>
    </w:p>
  </w:footnote>
  <w:footnote w:type="continuationSeparator" w:id="0">
    <w:p w:rsidR="005F7578" w:rsidRDefault="005F7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451608"/>
    <w:rsid w:val="005F7578"/>
    <w:rsid w:val="007F1C1F"/>
    <w:rsid w:val="00831072"/>
    <w:rsid w:val="009F0DD7"/>
    <w:rsid w:val="00B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16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16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1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16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16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1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2018-04-17T05:38:00Z</dcterms:created>
  <dcterms:modified xsi:type="dcterms:W3CDTF">2018-04-17T06:05:00Z</dcterms:modified>
</cp:coreProperties>
</file>